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仿宋_GB2312" w:hAnsi="Calibri" w:eastAsia="仿宋_GB2312" w:cs="Times New Roman"/>
          <w:kern w:val="2"/>
          <w:sz w:val="32"/>
          <w:szCs w:val="32"/>
          <w:lang w:val="en-US" w:eastAsia="zh-CN" w:bidi="ar-SA"/>
        </w:rPr>
      </w:pPr>
      <w:r>
        <w:rPr>
          <w:rFonts w:hint="eastAsia" w:ascii="黑体" w:eastAsia="黑体"/>
          <w:color w:val="FF0000"/>
          <w:sz w:val="44"/>
          <w:szCs w:val="44"/>
        </w:rPr>
        <w:drawing>
          <wp:inline distT="0" distB="0" distL="114300" distR="114300">
            <wp:extent cx="5238115" cy="1304925"/>
            <wp:effectExtent l="0" t="0" r="4445" b="5715"/>
            <wp:docPr id="5" name="图片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3123"/>
                    <pic:cNvPicPr>
                      <a:picLocks noChangeAspect="1"/>
                    </pic:cNvPicPr>
                  </pic:nvPicPr>
                  <pic:blipFill>
                    <a:blip r:embed="rId5"/>
                    <a:stretch>
                      <a:fillRect/>
                    </a:stretch>
                  </pic:blipFill>
                  <pic:spPr>
                    <a:xfrm>
                      <a:off x="0" y="0"/>
                      <a:ext cx="5238115" cy="1304925"/>
                    </a:xfrm>
                    <a:prstGeom prst="rect">
                      <a:avLst/>
                    </a:prstGeom>
                    <a:noFill/>
                    <a:ln>
                      <a:noFill/>
                    </a:ln>
                  </pic:spPr>
                </pic:pic>
              </a:graphicData>
            </a:graphic>
          </wp:inline>
        </w:drawing>
      </w:r>
    </w:p>
    <w:p>
      <w:pPr>
        <w:pStyle w:val="2"/>
        <w:ind w:left="0" w:leftChars="0" w:firstLine="0" w:firstLineChars="0"/>
        <w:jc w:val="center"/>
        <w:rPr>
          <w:rFonts w:hint="eastAsia" w:ascii="仿宋_GB2312" w:hAnsi="Calibri" w:eastAsia="仿宋_GB2312" w:cs="Times New Roman"/>
          <w:kern w:val="2"/>
          <w:sz w:val="32"/>
          <w:szCs w:val="32"/>
          <w:lang w:val="en-US" w:eastAsia="zh-CN" w:bidi="ar-SA"/>
        </w:rPr>
      </w:pPr>
    </w:p>
    <w:p>
      <w:pPr>
        <w:pStyle w:val="2"/>
        <w:ind w:left="0" w:leftChars="0" w:firstLine="0" w:firstLineChars="0"/>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洪</w:t>
      </w:r>
      <w:r>
        <w:rPr>
          <w:rFonts w:hint="eastAsia" w:hAnsi="Calibri" w:cs="Times New Roman"/>
          <w:kern w:val="2"/>
          <w:sz w:val="32"/>
          <w:szCs w:val="32"/>
          <w:lang w:val="en-US" w:eastAsia="zh-CN" w:bidi="ar-SA"/>
        </w:rPr>
        <w:t>政</w:t>
      </w:r>
      <w:r>
        <w:rPr>
          <w:rFonts w:hint="eastAsia" w:ascii="仿宋_GB2312" w:hAnsi="Calibri" w:eastAsia="仿宋_GB2312" w:cs="Times New Roman"/>
          <w:kern w:val="2"/>
          <w:sz w:val="32"/>
          <w:szCs w:val="32"/>
          <w:lang w:val="en-US" w:eastAsia="zh-CN" w:bidi="ar-SA"/>
        </w:rPr>
        <w:t>发〔202</w:t>
      </w:r>
      <w:r>
        <w:rPr>
          <w:rFonts w:hint="eastAsia" w:hAnsi="Calibri"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w:t>
      </w:r>
      <w:r>
        <w:rPr>
          <w:rFonts w:hint="eastAsia" w:hAnsi="Calibri" w:cs="Times New Roman"/>
          <w:kern w:val="2"/>
          <w:sz w:val="32"/>
          <w:szCs w:val="32"/>
          <w:lang w:val="en-US" w:eastAsia="zh-CN" w:bidi="ar-SA"/>
        </w:rPr>
        <w:t xml:space="preserve">4 </w:t>
      </w:r>
      <w:r>
        <w:rPr>
          <w:rFonts w:hint="eastAsia" w:ascii="仿宋_GB2312" w:hAnsi="Calibri" w:eastAsia="仿宋_GB2312" w:cs="Times New Roman"/>
          <w:kern w:val="2"/>
          <w:sz w:val="32"/>
          <w:szCs w:val="32"/>
          <w:lang w:val="en-US" w:eastAsia="zh-CN" w:bidi="ar-SA"/>
        </w:rPr>
        <w:t>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eastAsia="方正小标宋简体"/>
          <w:sz w:val="44"/>
          <w:szCs w:val="44"/>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-238760</wp:posOffset>
            </wp:positionH>
            <wp:positionV relativeFrom="paragraph">
              <wp:posOffset>78740</wp:posOffset>
            </wp:positionV>
            <wp:extent cx="5380990" cy="238125"/>
            <wp:effectExtent l="0" t="0" r="13970" b="5715"/>
            <wp:wrapTight wrapText="bothSides">
              <wp:wrapPolygon>
                <wp:start x="0" y="0"/>
                <wp:lineTo x="0" y="19872"/>
                <wp:lineTo x="21534" y="19872"/>
                <wp:lineTo x="21534" y="0"/>
                <wp:lineTo x="0" y="0"/>
              </wp:wrapPolygon>
            </wp:wrapTight>
            <wp:docPr id="4" name="图片 2" descr="221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112211"/>
                    <pic:cNvPicPr>
                      <a:picLocks noChangeAspect="1"/>
                    </pic:cNvPicPr>
                  </pic:nvPicPr>
                  <pic:blipFill>
                    <a:blip r:embed="rId6"/>
                    <a:stretch>
                      <a:fillRect/>
                    </a:stretch>
                  </pic:blipFill>
                  <pic:spPr>
                    <a:xfrm>
                      <a:off x="0" y="0"/>
                      <a:ext cx="5380990" cy="238125"/>
                    </a:xfrm>
                    <a:prstGeom prst="rect">
                      <a:avLst/>
                    </a:prstGeom>
                    <a:noFill/>
                    <a:ln>
                      <a:noFill/>
                    </a:ln>
                  </pic:spPr>
                </pic:pic>
              </a:graphicData>
            </a:graphic>
          </wp:anchor>
        </w:drawing>
      </w:r>
      <w:r>
        <w:rPr>
          <w:rFonts w:hint="eastAsia" w:ascii="方正小标宋简体" w:eastAsia="方正小标宋简体"/>
          <w:sz w:val="44"/>
          <w:szCs w:val="44"/>
        </w:rPr>
        <w:t>洪绪镇人民政府</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关于调整完善全镇防汛抗旱指挥体制</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和运行机制有关事项的通知</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eastAsia="仿宋_GB2312"/>
          <w:sz w:val="32"/>
          <w:szCs w:val="32"/>
        </w:rPr>
      </w:pPr>
      <w:r>
        <w:rPr>
          <w:rFonts w:hint="eastAsia" w:ascii="仿宋_GB2312" w:eastAsia="仿宋_GB2312"/>
          <w:sz w:val="32"/>
          <w:szCs w:val="32"/>
        </w:rPr>
        <w:t>各社区党委（党总支）、村，</w:t>
      </w:r>
      <w:r>
        <w:rPr>
          <w:rFonts w:hint="eastAsia" w:ascii="仿宋_GB2312" w:eastAsia="仿宋_GB2312"/>
          <w:sz w:val="32"/>
          <w:szCs w:val="32"/>
          <w:lang w:val="en-US" w:eastAsia="zh-CN"/>
        </w:rPr>
        <w:t>镇</w:t>
      </w:r>
      <w:r>
        <w:rPr>
          <w:rFonts w:hint="eastAsia" w:ascii="仿宋_GB2312" w:hAnsi="CG Times" w:eastAsia="仿宋_GB2312"/>
          <w:color w:val="auto"/>
          <w:sz w:val="32"/>
          <w:szCs w:val="32"/>
        </w:rPr>
        <w:t>防指各成员单位：</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根据《滕州市人民政府办公室关于调整完善全市防汛抗旱指挥体制和运行机制有关事项的通知》要求，经镇政府同意，现就调整完善全镇</w:t>
      </w:r>
      <w:r>
        <w:rPr>
          <w:rFonts w:hint="eastAsia" w:hAnsi="宋体" w:eastAsia="仿宋_GB2312" w:cs="宋体"/>
          <w:color w:val="auto"/>
          <w:sz w:val="32"/>
          <w:szCs w:val="22"/>
        </w:rPr>
        <w:t>防汛抗旱指挥部成员名单和防汛分部成员名单</w:t>
      </w:r>
      <w:r>
        <w:rPr>
          <w:rFonts w:hint="eastAsia" w:ascii="仿宋_GB2312" w:eastAsia="仿宋_GB2312"/>
          <w:sz w:val="32"/>
          <w:szCs w:val="32"/>
        </w:rPr>
        <w:t>和运行机制有关事项通知如下：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一、调整防汛抗旱指挥体制</w:t>
      </w:r>
    </w:p>
    <w:p>
      <w:pPr>
        <w:pStyle w:val="6"/>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自202</w:t>
      </w:r>
      <w:r>
        <w:rPr>
          <w:rFonts w:hint="default" w:ascii="仿宋_GB2312" w:hAnsi="Calibri"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年1月31日起，镇防汛抗旱指挥部办公室按照“三定”规定设在镇应急管理办公室，由其承担镇防汛抗旱指挥部日常工作，分管应急管理工作的副镇长任防汛抗旱指挥部办公室主任，应急管理办公室专职副主任、水</w:t>
      </w:r>
      <w:r>
        <w:rPr>
          <w:rFonts w:hint="eastAsia" w:eastAsia="仿宋_GB2312"/>
          <w:sz w:val="32"/>
          <w:szCs w:val="32"/>
        </w:rPr>
        <w:t>务工作岗主管</w:t>
      </w:r>
      <w:r>
        <w:rPr>
          <w:rFonts w:hint="eastAsia" w:ascii="仿宋_GB2312" w:hAnsi="Calibri" w:eastAsia="仿宋_GB2312" w:cs="Times New Roman"/>
          <w:kern w:val="2"/>
          <w:sz w:val="32"/>
          <w:szCs w:val="32"/>
          <w:lang w:val="en-US" w:eastAsia="zh-CN" w:bidi="ar-SA"/>
        </w:rPr>
        <w:t>任防汛抗旱指挥部办公室副主任。同时，结合工作实际，对镇防汛抗旱指挥部成员进行调整。各村要强化属地管理责任，结合各自实际，按照规定设置防汛抗旱领导小组，并对防汛抗旱领导小组成员进行相应调整。</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二、健全防汛抗旱运行机制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防汛抗旱指挥部</w:t>
      </w:r>
      <w:r>
        <w:rPr>
          <w:rFonts w:hint="eastAsia" w:ascii="仿宋_GB2312" w:eastAsia="仿宋_GB2312"/>
          <w:sz w:val="32"/>
          <w:szCs w:val="32"/>
          <w:lang w:val="en-US" w:eastAsia="zh-CN"/>
        </w:rPr>
        <w:t>办公室</w:t>
      </w:r>
      <w:r>
        <w:rPr>
          <w:rFonts w:hint="eastAsia" w:ascii="仿宋_GB2312" w:eastAsia="仿宋_GB2312"/>
          <w:sz w:val="32"/>
          <w:szCs w:val="32"/>
        </w:rPr>
        <w:t>要充分发挥在防汛抗旱工作中的牵头抓总作用，强化组织、协调、指导、督促职能。健全镇</w:t>
      </w:r>
      <w:r>
        <w:rPr>
          <w:rFonts w:hint="eastAsia" w:ascii="仿宋_GB2312" w:eastAsia="仿宋_GB2312"/>
          <w:sz w:val="32"/>
          <w:szCs w:val="32"/>
          <w:lang w:eastAsia="zh-CN"/>
        </w:rPr>
        <w:t>、</w:t>
      </w:r>
      <w:r>
        <w:rPr>
          <w:rFonts w:hint="eastAsia" w:ascii="仿宋_GB2312" w:eastAsia="仿宋_GB2312"/>
          <w:sz w:val="32"/>
          <w:szCs w:val="32"/>
        </w:rPr>
        <w:t>村应急联动、信息共享、组织协调等工作机制，构建上下贯通、政令畅通、高效协同的指挥体系。修订完善指挥部工作规则，明确成员职责权限，细化成员单位任务分工，构建分工明确、责任清晰、配合紧密的职责体系。各村防汛抗旱领导小组要协调有关成员单位，建立健全会商研判机制，共享相关监测预报预警和重要调度信息，联合分析研判汛情旱情和险情灾害，研究提出应对措施。建立汛期值班机制，严格落实</w:t>
      </w:r>
      <w:r>
        <w:rPr>
          <w:rFonts w:ascii="仿宋_GB2312" w:eastAsia="仿宋_GB2312"/>
          <w:sz w:val="32"/>
          <w:szCs w:val="32"/>
        </w:rPr>
        <w:t>24</w:t>
      </w:r>
      <w:r>
        <w:rPr>
          <w:rFonts w:hint="eastAsia" w:ascii="仿宋_GB2312" w:eastAsia="仿宋_GB2312"/>
          <w:sz w:val="32"/>
          <w:szCs w:val="32"/>
        </w:rPr>
        <w:t>小时值班和领导带班制度。建立联合培训演练机制，制定培训演练方案预案，提高责任人员和救援队伍应急处置能力。建立联合督导检查机制，组织对重点单位、重点行业进行检查，及时整改薄弱环节和隐患问题。完善协同配合和衔接机制，当预报发生大洪水或突发险情时，应急管理办公室按照防汛抗旱指挥部部署，组织指导有关方面提前落实抢险队伍、预置抢险物资、视情开展巡查值守、做好应急抢险和人员转移准备。洪水灾害发生后，</w:t>
      </w:r>
      <w:r>
        <w:rPr>
          <w:rFonts w:hint="eastAsia" w:eastAsia="仿宋_GB2312"/>
          <w:sz w:val="32"/>
          <w:szCs w:val="32"/>
        </w:rPr>
        <w:t>水务工作岗</w:t>
      </w:r>
      <w:r>
        <w:rPr>
          <w:rFonts w:hint="eastAsia" w:ascii="仿宋_GB2312" w:eastAsia="仿宋_GB2312"/>
          <w:sz w:val="32"/>
          <w:szCs w:val="32"/>
        </w:rPr>
        <w:t>按照防汛抗旱指挥部部署，协助应急管理部门开展险情处置，提供技术支持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三、压实相关部门责任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充分发挥应急管理</w:t>
      </w:r>
      <w:r>
        <w:rPr>
          <w:rFonts w:hint="eastAsia" w:ascii="仿宋_GB2312" w:eastAsia="仿宋_GB2312"/>
          <w:sz w:val="32"/>
          <w:szCs w:val="32"/>
          <w:lang w:val="en-US" w:eastAsia="zh-CN"/>
        </w:rPr>
        <w:t>办公室</w:t>
      </w:r>
      <w:r>
        <w:rPr>
          <w:rFonts w:hint="eastAsia" w:ascii="仿宋_GB2312" w:eastAsia="仿宋_GB2312"/>
          <w:sz w:val="32"/>
          <w:szCs w:val="32"/>
        </w:rPr>
        <w:t>的综合优势和各相关部门的专业优势，根据职责分工承担各自责任，衔接好“防”和“救”的责任链条，确保责任链条无缝对接，形成整体合力。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应急</w:t>
      </w:r>
      <w:r>
        <w:rPr>
          <w:rFonts w:hint="eastAsia" w:ascii="仿宋_GB2312" w:eastAsia="仿宋_GB2312"/>
          <w:sz w:val="32"/>
          <w:szCs w:val="32"/>
        </w:rPr>
        <w:t>管理</w:t>
      </w:r>
      <w:r>
        <w:rPr>
          <w:rFonts w:hint="eastAsia" w:ascii="仿宋_GB2312" w:eastAsia="仿宋_GB2312"/>
          <w:sz w:val="32"/>
          <w:szCs w:val="32"/>
          <w:lang w:val="en-US" w:eastAsia="zh-CN"/>
        </w:rPr>
        <w:t>办公室</w:t>
      </w:r>
      <w:r>
        <w:rPr>
          <w:rFonts w:hint="eastAsia" w:ascii="仿宋_GB2312" w:eastAsia="仿宋_GB2312"/>
          <w:sz w:val="32"/>
          <w:szCs w:val="32"/>
        </w:rPr>
        <w:t>负责综合指导协调本地和相关部门的水旱灾害防治工作，组织协调重大水旱灾害应急救援工作，根据防汛抗</w:t>
      </w:r>
      <w:r>
        <w:rPr>
          <w:rFonts w:hint="eastAsia" w:ascii="宋体" w:hAnsi="宋体" w:cs="Batang"/>
          <w:sz w:val="32"/>
          <w:szCs w:val="32"/>
        </w:rPr>
        <w:t>旱</w:t>
      </w:r>
      <w:r>
        <w:rPr>
          <w:rFonts w:hint="eastAsia" w:ascii="仿宋_GB2312" w:eastAsia="仿宋_GB2312"/>
          <w:sz w:val="32"/>
          <w:szCs w:val="32"/>
        </w:rPr>
        <w:t>指挥部要求组织协调重大水</w:t>
      </w:r>
      <w:r>
        <w:rPr>
          <w:rFonts w:hint="eastAsia" w:ascii="仿宋_GB2312" w:eastAsia="仿宋_GB2312"/>
          <w:sz w:val="32"/>
          <w:szCs w:val="32"/>
          <w:lang w:val="en-US" w:eastAsia="zh-CN"/>
        </w:rPr>
        <w:t>旱</w:t>
      </w:r>
      <w:r>
        <w:rPr>
          <w:rFonts w:hint="eastAsia" w:ascii="仿宋_GB2312" w:eastAsia="仿宋_GB2312"/>
          <w:sz w:val="32"/>
          <w:szCs w:val="32"/>
        </w:rPr>
        <w:t>灾害抢险应急处置工作。负责灾害调查统计评估和灾害救助。依法统一发布灾情信息。</w:t>
      </w:r>
    </w:p>
    <w:p>
      <w:pPr>
        <w:spacing w:line="560" w:lineRule="exact"/>
        <w:ind w:firstLine="640" w:firstLineChars="200"/>
        <w:rPr>
          <w:rFonts w:ascii="仿宋_GB2312" w:eastAsia="仿宋_GB2312"/>
          <w:sz w:val="32"/>
          <w:szCs w:val="32"/>
        </w:rPr>
      </w:pPr>
      <w:r>
        <w:rPr>
          <w:rFonts w:hint="eastAsia" w:eastAsia="仿宋_GB2312"/>
          <w:sz w:val="32"/>
          <w:szCs w:val="32"/>
        </w:rPr>
        <w:t>水务工作岗</w:t>
      </w:r>
      <w:r>
        <w:rPr>
          <w:rFonts w:hint="eastAsia" w:ascii="仿宋_GB2312" w:eastAsia="仿宋_GB2312"/>
          <w:sz w:val="32"/>
          <w:szCs w:val="32"/>
        </w:rPr>
        <w:t>负责指导水旱灾害防治体系建设，编制洪水干旱灾害防治规划并指导实施。开展水情旱情监测预警预报和防汛抢险技术支撑工作，负责发布水情旱情</w:t>
      </w:r>
      <w:r>
        <w:rPr>
          <w:rFonts w:hint="eastAsia" w:ascii="仿宋_GB2312" w:eastAsia="仿宋_GB2312"/>
          <w:sz w:val="32"/>
          <w:szCs w:val="32"/>
          <w:lang w:eastAsia="zh-CN"/>
        </w:rPr>
        <w:t>。</w:t>
      </w:r>
      <w:r>
        <w:rPr>
          <w:rFonts w:hint="eastAsia" w:ascii="仿宋_GB2312" w:eastAsia="仿宋_GB2312"/>
          <w:sz w:val="32"/>
          <w:szCs w:val="32"/>
        </w:rPr>
        <w:t>组织编制所管辖重要河道</w:t>
      </w:r>
      <w:r>
        <w:rPr>
          <w:rFonts w:hint="eastAsia" w:ascii="仿宋_GB2312" w:eastAsia="仿宋_GB2312"/>
          <w:sz w:val="32"/>
          <w:szCs w:val="32"/>
          <w:lang w:val="en-US" w:eastAsia="zh-CN"/>
        </w:rPr>
        <w:t>的防御洪水方案，</w:t>
      </w:r>
      <w:r>
        <w:rPr>
          <w:rFonts w:hint="eastAsia" w:ascii="仿宋_GB2312" w:eastAsia="仿宋_GB2312"/>
          <w:sz w:val="32"/>
          <w:szCs w:val="32"/>
        </w:rPr>
        <w:t>报</w:t>
      </w:r>
      <w:r>
        <w:rPr>
          <w:rFonts w:hint="eastAsia" w:ascii="仿宋_GB2312" w:eastAsia="仿宋_GB2312"/>
          <w:sz w:val="32"/>
          <w:szCs w:val="32"/>
          <w:lang w:val="en-US" w:eastAsia="zh-CN"/>
        </w:rPr>
        <w:t>同级</w:t>
      </w:r>
      <w:r>
        <w:rPr>
          <w:rFonts w:hint="eastAsia" w:ascii="仿宋_GB2312" w:eastAsia="仿宋_GB2312"/>
          <w:sz w:val="32"/>
          <w:szCs w:val="32"/>
        </w:rPr>
        <w:t>政府批准。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承担</w:t>
      </w:r>
      <w:r>
        <w:rPr>
          <w:rFonts w:hint="eastAsia" w:ascii="仿宋_GB2312" w:eastAsia="仿宋_GB2312"/>
          <w:sz w:val="32"/>
          <w:szCs w:val="32"/>
          <w:lang w:val="en-US" w:eastAsia="zh-CN"/>
        </w:rPr>
        <w:t>镇域</w:t>
      </w:r>
      <w:r>
        <w:rPr>
          <w:rFonts w:hint="eastAsia" w:ascii="仿宋_GB2312" w:eastAsia="仿宋_GB2312"/>
          <w:sz w:val="32"/>
          <w:szCs w:val="32"/>
        </w:rPr>
        <w:t>防汛抗旱工作的部门负责</w:t>
      </w:r>
      <w:r>
        <w:rPr>
          <w:rFonts w:hint="eastAsia" w:ascii="仿宋_GB2312" w:eastAsia="仿宋_GB2312"/>
          <w:sz w:val="32"/>
          <w:szCs w:val="32"/>
          <w:lang w:val="en-US" w:eastAsia="zh-CN"/>
        </w:rPr>
        <w:t>镇域</w:t>
      </w:r>
      <w:r>
        <w:rPr>
          <w:rFonts w:hint="eastAsia" w:ascii="仿宋_GB2312" w:eastAsia="仿宋_GB2312"/>
          <w:sz w:val="32"/>
          <w:szCs w:val="32"/>
        </w:rPr>
        <w:t>防汛排涝规划的制定和监督实施。要加强</w:t>
      </w:r>
      <w:r>
        <w:rPr>
          <w:rFonts w:hint="eastAsia" w:ascii="仿宋_GB2312" w:eastAsia="仿宋_GB2312"/>
          <w:sz w:val="32"/>
          <w:szCs w:val="32"/>
          <w:lang w:val="en-US" w:eastAsia="zh-CN"/>
        </w:rPr>
        <w:t>镇域</w:t>
      </w:r>
      <w:r>
        <w:rPr>
          <w:rFonts w:hint="eastAsia" w:ascii="仿宋_GB2312" w:eastAsia="仿宋_GB2312"/>
          <w:sz w:val="32"/>
          <w:szCs w:val="32"/>
        </w:rPr>
        <w:t>防汛排涝、供水工程设施的安全运行管理，组织</w:t>
      </w:r>
      <w:r>
        <w:rPr>
          <w:rFonts w:hint="eastAsia" w:ascii="仿宋_GB2312" w:eastAsia="仿宋_GB2312"/>
          <w:sz w:val="32"/>
          <w:szCs w:val="32"/>
          <w:lang w:val="en-US" w:eastAsia="zh-CN"/>
        </w:rPr>
        <w:t>镇域</w:t>
      </w:r>
      <w:r>
        <w:rPr>
          <w:rFonts w:hint="eastAsia" w:ascii="仿宋_GB2312" w:eastAsia="仿宋_GB2312"/>
          <w:sz w:val="32"/>
          <w:szCs w:val="32"/>
        </w:rPr>
        <w:t>防汛排涝抢险及应急供水工作。其他相关部门充分发挥职能作用，按照防汛抗旱预案等明确的职责任务，协同做好防汛抗旱工作</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p>
    <w:p>
      <w:pPr>
        <w:spacing w:line="560" w:lineRule="exact"/>
        <w:ind w:firstLine="5440" w:firstLineChars="1700"/>
        <w:rPr>
          <w:rFonts w:hint="eastAsia" w:ascii="仿宋_GB2312" w:eastAsia="仿宋_GB2312"/>
          <w:sz w:val="32"/>
          <w:szCs w:val="32"/>
          <w:lang w:val="en-US" w:eastAsia="zh-CN"/>
        </w:rPr>
      </w:pPr>
    </w:p>
    <w:p>
      <w:pPr>
        <w:spacing w:line="560" w:lineRule="exact"/>
        <w:ind w:firstLine="5440" w:firstLineChars="1700"/>
        <w:rPr>
          <w:rFonts w:hint="eastAsia" w:ascii="仿宋_GB2312" w:eastAsia="仿宋_GB2312"/>
          <w:sz w:val="32"/>
          <w:szCs w:val="32"/>
          <w:lang w:val="en-US" w:eastAsia="zh-CN"/>
        </w:rPr>
      </w:pPr>
      <w:r>
        <w:rPr>
          <w:rFonts w:hint="eastAsia" w:ascii="仿宋_GB2312" w:eastAsia="仿宋_GB2312"/>
          <w:sz w:val="32"/>
          <w:szCs w:val="32"/>
          <w:lang w:val="en-US" w:eastAsia="zh-CN"/>
        </w:rPr>
        <w:t>洪绪镇人民政府</w:t>
      </w:r>
    </w:p>
    <w:p>
      <w:pPr>
        <w:spacing w:line="560" w:lineRule="exact"/>
        <w:ind w:firstLine="5440" w:firstLineChars="1700"/>
        <w:rPr>
          <w:rFonts w:hint="default" w:ascii="仿宋_GB2312" w:eastAsia="仿宋_GB2312"/>
          <w:sz w:val="32"/>
          <w:szCs w:val="32"/>
          <w:lang w:val="en-US" w:eastAsia="zh-CN"/>
        </w:rPr>
      </w:pPr>
      <w:r>
        <w:rPr>
          <w:rFonts w:hint="eastAsia" w:ascii="仿宋_GB2312" w:eastAsia="仿宋_GB2312"/>
          <w:sz w:val="32"/>
          <w:szCs w:val="32"/>
          <w:lang w:val="en-US" w:eastAsia="zh-CN"/>
        </w:rPr>
        <w:t>2023年5月26日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spacing w:line="560" w:lineRule="exact"/>
        <w:rPr>
          <w:rFonts w:ascii="宋体" w:cs="宋体"/>
          <w:kern w:val="0"/>
          <w:sz w:val="24"/>
          <w:szCs w:val="24"/>
        </w:rPr>
      </w:pPr>
      <w:bookmarkStart w:id="0" w:name="_GoBack"/>
      <w:bookmarkEnd w:id="0"/>
    </w:p>
    <w:sectPr>
      <w:footerReference r:id="rId3" w:type="default"/>
      <w:pgSz w:w="11906" w:h="16838"/>
      <w:pgMar w:top="1440" w:right="1803" w:bottom="1440" w:left="1803"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9vcFDjAQAAvAMAAA4A&#10;AAAAAAAAAQAgAAAAHgEAAGRycy9lMm9Eb2MueG1sUEsFBgAAAAAGAAYAWQEAAHMFA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ThkYzFmYjRjMzI4MDcyZTFmYjE0ZjM4YWE1MWYifQ=="/>
  </w:docVars>
  <w:rsids>
    <w:rsidRoot w:val="00C876F2"/>
    <w:rsid w:val="000E4EC8"/>
    <w:rsid w:val="00106842"/>
    <w:rsid w:val="001C7D5B"/>
    <w:rsid w:val="0026007C"/>
    <w:rsid w:val="00277F08"/>
    <w:rsid w:val="00281F14"/>
    <w:rsid w:val="00323E00"/>
    <w:rsid w:val="00327033"/>
    <w:rsid w:val="003456F4"/>
    <w:rsid w:val="003D49D9"/>
    <w:rsid w:val="00455A8E"/>
    <w:rsid w:val="00462384"/>
    <w:rsid w:val="004A1FFE"/>
    <w:rsid w:val="004B1D43"/>
    <w:rsid w:val="004C14EB"/>
    <w:rsid w:val="00566467"/>
    <w:rsid w:val="00610704"/>
    <w:rsid w:val="006109DF"/>
    <w:rsid w:val="006A48E1"/>
    <w:rsid w:val="006A5F3E"/>
    <w:rsid w:val="0072052A"/>
    <w:rsid w:val="00736E44"/>
    <w:rsid w:val="00776EC3"/>
    <w:rsid w:val="007810BC"/>
    <w:rsid w:val="007B3756"/>
    <w:rsid w:val="007C0141"/>
    <w:rsid w:val="007E5533"/>
    <w:rsid w:val="00846220"/>
    <w:rsid w:val="008C1BB4"/>
    <w:rsid w:val="00941A2D"/>
    <w:rsid w:val="009F7F49"/>
    <w:rsid w:val="00A00514"/>
    <w:rsid w:val="00A87BDC"/>
    <w:rsid w:val="00AF39F8"/>
    <w:rsid w:val="00B2474C"/>
    <w:rsid w:val="00B472ED"/>
    <w:rsid w:val="00B864DE"/>
    <w:rsid w:val="00C1647A"/>
    <w:rsid w:val="00C22E89"/>
    <w:rsid w:val="00C42EE0"/>
    <w:rsid w:val="00C876F2"/>
    <w:rsid w:val="00CD035F"/>
    <w:rsid w:val="00D42CAE"/>
    <w:rsid w:val="00D8323C"/>
    <w:rsid w:val="00DD0DB7"/>
    <w:rsid w:val="00E17F69"/>
    <w:rsid w:val="00E27C26"/>
    <w:rsid w:val="00E86AEE"/>
    <w:rsid w:val="00EA43B0"/>
    <w:rsid w:val="00ED1166"/>
    <w:rsid w:val="00F924B3"/>
    <w:rsid w:val="021C3372"/>
    <w:rsid w:val="039A4011"/>
    <w:rsid w:val="0BF4380E"/>
    <w:rsid w:val="0E294ACC"/>
    <w:rsid w:val="0FFC3E38"/>
    <w:rsid w:val="100850E0"/>
    <w:rsid w:val="15DB4817"/>
    <w:rsid w:val="16004EAD"/>
    <w:rsid w:val="1A260B8E"/>
    <w:rsid w:val="1AE91F83"/>
    <w:rsid w:val="1B31465C"/>
    <w:rsid w:val="1E4771B2"/>
    <w:rsid w:val="203D13EB"/>
    <w:rsid w:val="205F3F21"/>
    <w:rsid w:val="2239158D"/>
    <w:rsid w:val="233424C7"/>
    <w:rsid w:val="23805A93"/>
    <w:rsid w:val="242D3D71"/>
    <w:rsid w:val="27452E37"/>
    <w:rsid w:val="32AF7166"/>
    <w:rsid w:val="3F726001"/>
    <w:rsid w:val="404A79AE"/>
    <w:rsid w:val="44705807"/>
    <w:rsid w:val="447F0EED"/>
    <w:rsid w:val="453A34DE"/>
    <w:rsid w:val="455B5822"/>
    <w:rsid w:val="45F85E01"/>
    <w:rsid w:val="474F7D44"/>
    <w:rsid w:val="49B25ECF"/>
    <w:rsid w:val="4AC82CCF"/>
    <w:rsid w:val="4F8209A8"/>
    <w:rsid w:val="539B04AE"/>
    <w:rsid w:val="54D140E0"/>
    <w:rsid w:val="5583422D"/>
    <w:rsid w:val="564F0BAA"/>
    <w:rsid w:val="5A4733DA"/>
    <w:rsid w:val="60547D1F"/>
    <w:rsid w:val="63AD434F"/>
    <w:rsid w:val="644703F8"/>
    <w:rsid w:val="65E17AE5"/>
    <w:rsid w:val="66264071"/>
    <w:rsid w:val="672831C7"/>
    <w:rsid w:val="674A5299"/>
    <w:rsid w:val="683D31F6"/>
    <w:rsid w:val="6EF11DB8"/>
    <w:rsid w:val="719E5203"/>
    <w:rsid w:val="73BE7CB0"/>
    <w:rsid w:val="7C8E69BA"/>
    <w:rsid w:val="7CD421C6"/>
    <w:rsid w:val="7DD057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38"/>
      <w:ind w:left="106" w:firstLine="640"/>
      <w:jc w:val="left"/>
    </w:pPr>
    <w:rPr>
      <w:rFonts w:ascii="仿宋_GB2312" w:hAnsi="仿宋_GB2312" w:eastAsia="仿宋_GB2312" w:cs="Times New Roman"/>
      <w:kern w:val="0"/>
      <w:sz w:val="32"/>
      <w:szCs w:val="32"/>
      <w:lang w:eastAsia="en-US"/>
    </w:rPr>
  </w:style>
  <w:style w:type="paragraph" w:styleId="3">
    <w:name w:val="Normal Indent"/>
    <w:basedOn w:val="1"/>
    <w:unhideWhenUsed/>
    <w:qFormat/>
    <w:uiPriority w:val="99"/>
    <w:pPr>
      <w:ind w:firstLine="420" w:firstLineChars="200"/>
    </w:pPr>
  </w:style>
  <w:style w:type="paragraph" w:styleId="4">
    <w:name w:val="Document Map"/>
    <w:basedOn w:val="1"/>
    <w:link w:val="15"/>
    <w:semiHidden/>
    <w:qFormat/>
    <w:uiPriority w:val="99"/>
    <w:rPr>
      <w:rFonts w:ascii="宋体"/>
      <w:sz w:val="18"/>
      <w:szCs w:val="18"/>
    </w:rPr>
  </w:style>
  <w:style w:type="paragraph" w:styleId="5">
    <w:name w:val="Body Text Indent"/>
    <w:basedOn w:val="1"/>
    <w:next w:val="3"/>
    <w:unhideWhenUsed/>
    <w:qFormat/>
    <w:uiPriority w:val="99"/>
    <w:pPr>
      <w:spacing w:after="120"/>
      <w:ind w:left="420" w:leftChars="2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0"/>
    <w:pPr>
      <w:spacing w:after="104" w:afterLines="0" w:afterAutospacing="0" w:line="0" w:lineRule="atLeast"/>
      <w:ind w:firstLine="0" w:firstLineChars="0"/>
      <w:jc w:val="left"/>
    </w:pPr>
    <w:rPr>
      <w:rFonts w:ascii="Arial" w:hAnsi="Arial" w:eastAsia="黑体"/>
      <w:sz w:val="28"/>
    </w:rPr>
  </w:style>
  <w:style w:type="paragraph" w:styleId="9">
    <w:name w:val="Body Text First Indent 2"/>
    <w:basedOn w:val="5"/>
    <w:unhideWhenUsed/>
    <w:qFormat/>
    <w:uiPriority w:val="99"/>
    <w:pPr>
      <w:ind w:firstLine="420" w:firstLineChars="200"/>
    </w:pPr>
  </w:style>
  <w:style w:type="character" w:customStyle="1" w:styleId="12">
    <w:name w:val="页眉 Char"/>
    <w:basedOn w:val="11"/>
    <w:link w:val="7"/>
    <w:semiHidden/>
    <w:qFormat/>
    <w:locked/>
    <w:uiPriority w:val="99"/>
    <w:rPr>
      <w:rFonts w:cs="Times New Roman"/>
      <w:sz w:val="18"/>
      <w:szCs w:val="18"/>
    </w:rPr>
  </w:style>
  <w:style w:type="character" w:customStyle="1" w:styleId="13">
    <w:name w:val="页脚 Char"/>
    <w:basedOn w:val="11"/>
    <w:link w:val="6"/>
    <w:qFormat/>
    <w:locked/>
    <w:uiPriority w:val="99"/>
    <w:rPr>
      <w:rFonts w:cs="Times New Roman"/>
      <w:sz w:val="18"/>
      <w:szCs w:val="18"/>
    </w:rPr>
  </w:style>
  <w:style w:type="paragraph" w:customStyle="1" w:styleId="14">
    <w:name w:val="默认段落字体 Para Char Char Char Char Char Char Char Char Char Char Char Char Char Char Char1 Char Char Char Char"/>
    <w:basedOn w:val="4"/>
    <w:qFormat/>
    <w:uiPriority w:val="99"/>
    <w:pPr>
      <w:shd w:val="clear" w:color="auto" w:fill="000080"/>
      <w:adjustRightInd w:val="0"/>
      <w:spacing w:line="436" w:lineRule="exact"/>
      <w:ind w:left="357"/>
      <w:jc w:val="left"/>
      <w:outlineLvl w:val="3"/>
    </w:pPr>
    <w:rPr>
      <w:rFonts w:ascii="Times New Roman" w:hAnsi="Times New Roman"/>
      <w:sz w:val="21"/>
      <w:szCs w:val="20"/>
    </w:rPr>
  </w:style>
  <w:style w:type="character" w:customStyle="1" w:styleId="15">
    <w:name w:val="文档结构图 Char"/>
    <w:basedOn w:val="11"/>
    <w:link w:val="4"/>
    <w:semiHidden/>
    <w:qFormat/>
    <w:locked/>
    <w:uiPriority w:val="99"/>
    <w:rPr>
      <w:rFonts w:ascii="宋体"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5802</Words>
  <Characters>5840</Characters>
  <Lines>45</Lines>
  <Paragraphs>12</Paragraphs>
  <TotalTime>0</TotalTime>
  <ScaleCrop>false</ScaleCrop>
  <LinksUpToDate>false</LinksUpToDate>
  <CharactersWithSpaces>6341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2020-03-02T08:36:00Z</dcterms:created>
  <dc:creator>Administrator</dc:creator>
  <cp:lastModifiedBy>Administrator</cp:lastModifiedBy>
  <cp:lastPrinted>2022-05-27T09:50:00Z</cp:lastPrinted>
  <dcterms:modified xsi:type="dcterms:W3CDTF">2023-11-28T03:14:14Z</dcterms:modified>
  <dc:title>洪绪镇人民政府办公室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1440D189B3A442C1B924954D96560647_13</vt:lpwstr>
  </property>
</Properties>
</file>